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E1F" w:rsidRPr="00E22E1F" w:rsidRDefault="00E22E1F" w:rsidP="00E22E1F">
      <w:pPr>
        <w:spacing w:before="100" w:beforeAutospacing="1" w:after="100" w:afterAutospacing="1" w:line="240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</w:pPr>
      <w:r w:rsidRPr="00E22E1F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>Статья 374 НК РФ. Объект налогообложения (действующая редакция)</w:t>
      </w:r>
    </w:p>
    <w:p w:rsidR="00E22E1F" w:rsidRPr="00E22E1F" w:rsidRDefault="00E22E1F" w:rsidP="00E22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tooltip="Налоговый кодекс РФ" w:history="1">
        <w:r w:rsidRPr="00E22E1F">
          <w:rPr>
            <w:rFonts w:ascii="Times New Roman" w:eastAsia="Times New Roman" w:hAnsi="Times New Roman" w:cs="Times New Roman"/>
            <w:b/>
            <w:bCs/>
            <w:color w:val="707070"/>
            <w:sz w:val="20"/>
            <w:szCs w:val="20"/>
            <w:u w:val="single"/>
            <w:lang w:eastAsia="ru-RU"/>
          </w:rPr>
          <w:t>[Налоговый кодекс РФ]</w:t>
        </w:r>
      </w:hyperlink>
      <w:r w:rsidRPr="00E22E1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5" w:tooltip="Налог на имущество организаций" w:history="1">
        <w:r w:rsidRPr="00E22E1F">
          <w:rPr>
            <w:rFonts w:ascii="Times New Roman" w:eastAsia="Times New Roman" w:hAnsi="Times New Roman" w:cs="Times New Roman"/>
            <w:b/>
            <w:bCs/>
            <w:color w:val="707070"/>
            <w:sz w:val="20"/>
            <w:szCs w:val="20"/>
            <w:u w:val="single"/>
            <w:lang w:eastAsia="ru-RU"/>
          </w:rPr>
          <w:t>[Глава 30]</w:t>
        </w:r>
      </w:hyperlink>
      <w:r w:rsidRPr="00E22E1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6" w:tooltip="Объект налогообложения" w:history="1">
        <w:r w:rsidRPr="00E22E1F">
          <w:rPr>
            <w:rFonts w:ascii="Times New Roman" w:eastAsia="Times New Roman" w:hAnsi="Times New Roman" w:cs="Times New Roman"/>
            <w:b/>
            <w:bCs/>
            <w:color w:val="707070"/>
            <w:sz w:val="20"/>
            <w:szCs w:val="20"/>
            <w:u w:val="single"/>
            <w:lang w:eastAsia="ru-RU"/>
          </w:rPr>
          <w:t>[Статья 374]</w:t>
        </w:r>
      </w:hyperlink>
    </w:p>
    <w:p w:rsidR="00E22E1F" w:rsidRPr="00E22E1F" w:rsidRDefault="00E22E1F" w:rsidP="00E22E1F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22E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Объектами налогообложения для российских организаций признается движимое и недвижимое имущество (в том числе имущество, переданное во временное владение, в пользование, распоряжение, доверительное управление, внесенное в совместную деятельность или полученное по концессионному соглашению), учитываемое на балансе в качестве объектов основных средств в порядке, установленном для ведения бухгалтерского учета, если иное не предусмотрено статьями 378, 378.1 и 378.2 настоящего Кодекса.</w:t>
      </w:r>
    </w:p>
    <w:p w:rsidR="00E22E1F" w:rsidRPr="00E22E1F" w:rsidRDefault="00E22E1F" w:rsidP="00E22E1F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22E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Объектами налогообложения для иностранных организаций, осуществляющих деятельность в Российской Федерации через постоянные представительства, признаются движимое и недвижимое имущество, относящееся к объектам основных средств, имущество, полученное по концессионному соглашению.</w:t>
      </w:r>
    </w:p>
    <w:p w:rsidR="00E22E1F" w:rsidRPr="00E22E1F" w:rsidRDefault="00E22E1F" w:rsidP="00E22E1F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22E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целях настоящей главы иностранные организации ведут учет объектов налогообложения в порядке, установленном в Российской Федерации для ведения бухгалтерского учета.</w:t>
      </w:r>
    </w:p>
    <w:p w:rsidR="00E22E1F" w:rsidRPr="00E22E1F" w:rsidRDefault="00E22E1F" w:rsidP="00E22E1F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22E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 Объектами налогообложения для иностранных организаций, не осуществляющих деятельности в Российской Федерации через постоянные представительства, признаются находящееся на территории Российской Федерации и принадлежащее указанным иностранным организациям на праве собственности недвижимое имущество и полученное по концессионному соглашению недвижимое имущество.</w:t>
      </w:r>
    </w:p>
    <w:p w:rsidR="00E22E1F" w:rsidRPr="00E22E1F" w:rsidRDefault="00E22E1F" w:rsidP="00E22E1F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22E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 Не признаются объектами налогообложения:</w:t>
      </w:r>
    </w:p>
    <w:p w:rsidR="00E22E1F" w:rsidRPr="00E22E1F" w:rsidRDefault="00E22E1F" w:rsidP="00E22E1F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22E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земельные участки и иные объекты природопользования (водные объекты и другие природные ресурсы);</w:t>
      </w:r>
    </w:p>
    <w:p w:rsidR="00E22E1F" w:rsidRPr="00E22E1F" w:rsidRDefault="00E22E1F" w:rsidP="00E22E1F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22E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имущество, принадлежащее на праве оперативного управления федеральным органам исполнительной власти и федеральным государственным органам, в которых законодательством Российской Федерации предусмотрена военная и (или) приравненная к ней служба, используемое этими органами для нужд обороны, гражданской обороны, обеспечения безопасности и охраны правопорядка в Российской Федерации;</w:t>
      </w:r>
    </w:p>
    <w:p w:rsidR="00E22E1F" w:rsidRPr="00E22E1F" w:rsidRDefault="00E22E1F" w:rsidP="00E22E1F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22E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 объекты, признаваемые объектами культурного наследия (памятниками истории и культуры) народов Российской Федерации федерального значения в установленном законодательством Российской Федерации порядке;</w:t>
      </w:r>
    </w:p>
    <w:p w:rsidR="00E22E1F" w:rsidRPr="00E22E1F" w:rsidRDefault="00E22E1F" w:rsidP="00E22E1F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22E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4) ядерные установки, используемые для научных целей, пункты хранения ядерных материалов и радиоактивных веществ и хранилища радиоактивных отходов;</w:t>
      </w:r>
    </w:p>
    <w:p w:rsidR="00E22E1F" w:rsidRPr="00E22E1F" w:rsidRDefault="00E22E1F" w:rsidP="00E22E1F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22E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5) ледоколы, суда с ядерными энергетическими установками и суда атомно-технологического обслуживания;</w:t>
      </w:r>
    </w:p>
    <w:p w:rsidR="00E22E1F" w:rsidRPr="00E22E1F" w:rsidRDefault="00E22E1F" w:rsidP="00E22E1F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22E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6) космические объекты;</w:t>
      </w:r>
    </w:p>
    <w:p w:rsidR="00E22E1F" w:rsidRPr="00E22E1F" w:rsidRDefault="00E22E1F" w:rsidP="00E22E1F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22E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7) суда, зарегистрированные в Российском международном реестре судов;</w:t>
      </w:r>
    </w:p>
    <w:p w:rsidR="00E22E1F" w:rsidRPr="00E22E1F" w:rsidRDefault="00E22E1F" w:rsidP="00E22E1F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22E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8) объекты основных средств, включенные в первую или во вторую амортизационную группу в соответствии с Классификацией основных средств, утвержденной Правительством Российской Федерации.</w:t>
      </w:r>
    </w:p>
    <w:p w:rsidR="00F61F3F" w:rsidRDefault="00F61F3F">
      <w:bookmarkStart w:id="0" w:name="_GoBack"/>
      <w:bookmarkEnd w:id="0"/>
    </w:p>
    <w:sectPr w:rsidR="00F61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32E"/>
    <w:rsid w:val="00C0532E"/>
    <w:rsid w:val="00E22E1F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3A6E7A-9A69-4C7F-83EA-99DBBC384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2E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2E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22E1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22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07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2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0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zakonrf.info/nk/374/" TargetMode="External"/><Relationship Id="rId5" Type="http://schemas.openxmlformats.org/officeDocument/2006/relationships/hyperlink" Target="https://www.zakonrf.info/nk/gl30/" TargetMode="External"/><Relationship Id="rId4" Type="http://schemas.openxmlformats.org/officeDocument/2006/relationships/hyperlink" Target="https://www.zakonrf.info/n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2542</Characters>
  <Application>Microsoft Office Word</Application>
  <DocSecurity>0</DocSecurity>
  <Lines>55</Lines>
  <Paragraphs>35</Paragraphs>
  <ScaleCrop>false</ScaleCrop>
  <Company>diakov.net</Company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S-ko Elena</dc:creator>
  <cp:keywords/>
  <dc:description/>
  <cp:lastModifiedBy>S-ko Elena</cp:lastModifiedBy>
  <cp:revision>2</cp:revision>
  <dcterms:created xsi:type="dcterms:W3CDTF">2018-04-03T11:51:00Z</dcterms:created>
  <dcterms:modified xsi:type="dcterms:W3CDTF">2018-04-03T11:52:00Z</dcterms:modified>
</cp:coreProperties>
</file>