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76" w:rsidRPr="009A3076" w:rsidRDefault="009A3076" w:rsidP="009A3076">
      <w:pPr>
        <w:spacing w:after="163" w:line="294" w:lineRule="atLeast"/>
        <w:outlineLvl w:val="0"/>
        <w:rPr>
          <w:rFonts w:ascii="Arial" w:eastAsia="Times New Roman" w:hAnsi="Arial" w:cs="Arial"/>
          <w:kern w:val="36"/>
          <w:sz w:val="41"/>
          <w:szCs w:val="41"/>
          <w:lang w:eastAsia="ru-RU"/>
        </w:rPr>
      </w:pPr>
      <w:r w:rsidRPr="009A3076">
        <w:rPr>
          <w:rFonts w:ascii="Arial" w:eastAsia="Times New Roman" w:hAnsi="Arial" w:cs="Arial"/>
          <w:kern w:val="36"/>
          <w:sz w:val="41"/>
          <w:szCs w:val="41"/>
          <w:lang w:eastAsia="ru-RU"/>
        </w:rPr>
        <w:t>Статья 358 НК РФ. Объект налогообложения (действующая редакция)</w:t>
      </w:r>
    </w:p>
    <w:p w:rsidR="009A3076" w:rsidRPr="009A3076" w:rsidRDefault="009A3076" w:rsidP="009A3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Налоговый кодекс РФ" w:history="1">
        <w:r w:rsidRPr="009A307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Налоговый кодекс РФ</w:t>
        </w:r>
      </w:hyperlink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076" w:rsidRPr="009A3076" w:rsidRDefault="009A3076" w:rsidP="009A3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Транспортный налог" w:history="1">
        <w:r w:rsidRPr="009A307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Глава 28</w:t>
        </w:r>
      </w:hyperlink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076" w:rsidRPr="009A3076" w:rsidRDefault="009A3076" w:rsidP="009A30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Объект налогообложения" w:history="1">
        <w:r w:rsidRPr="009A3076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Статья 358</w:t>
        </w:r>
      </w:hyperlink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1. Объектом налогообложения признаются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(далее в настоящей главе - транспортные средства), зарегистрированные в установленном порядке в соответствии с законодательством Российской Федерации.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2. Не являются объектом налогообложения: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1) весельные лодки, а также моторные лодки с двигателем мощностью не свыше 5 лошадиных сил;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2)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3) промысловые морские и речные суда;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4) 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(или) грузовых перевозок;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5) 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</w:t>
      </w: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lastRenderedPageBreak/>
        <w:t>товаропроизводителей и используемые при сельскохозяйственных работах для производства сельскохозяйственной продукции;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6) транспортные средства, принадлежащие на праве оперативного управления федеральным органам исполнительной власти и федеральным государственным органам, в которых законодательством Российской Федерации предусмотрена военная и (или) приравненная к ней служба;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7)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8) самолеты и вертолеты санитарной авиации и медицинской службы;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9) суда, зарегистрированные в Российском международном реестре судов;</w:t>
      </w:r>
    </w:p>
    <w:p w:rsidR="009A3076" w:rsidRPr="009A3076" w:rsidRDefault="009A3076" w:rsidP="009A3076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9A3076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10) морские стационарные и плавучие платформы, морские передвижные буровые установки и буровые суда.</w:t>
      </w:r>
    </w:p>
    <w:p w:rsidR="00E50163" w:rsidRDefault="00E50163">
      <w:bookmarkStart w:id="0" w:name="_GoBack"/>
      <w:bookmarkEnd w:id="0"/>
    </w:p>
    <w:sectPr w:rsidR="00E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B4"/>
    <w:rsid w:val="009A3076"/>
    <w:rsid w:val="00E50163"/>
    <w:rsid w:val="00F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CAD6-701C-4558-933F-795BF100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30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nk/358/" TargetMode="External"/><Relationship Id="rId5" Type="http://schemas.openxmlformats.org/officeDocument/2006/relationships/hyperlink" Target="https://www.zakonrf.info/nk/gl28/" TargetMode="External"/><Relationship Id="rId4" Type="http://schemas.openxmlformats.org/officeDocument/2006/relationships/hyperlink" Target="https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2276</Characters>
  <Application>Microsoft Office Word</Application>
  <DocSecurity>0</DocSecurity>
  <Lines>44</Lines>
  <Paragraphs>21</Paragraphs>
  <ScaleCrop>false</ScaleCrop>
  <Company>diakov.net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2018-04-19T11:52:00Z</dcterms:created>
  <dcterms:modified xsi:type="dcterms:W3CDTF">2018-04-19T11:52:00Z</dcterms:modified>
</cp:coreProperties>
</file>