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5C" w:rsidRPr="00A37A5C" w:rsidRDefault="00A37A5C" w:rsidP="00A37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br/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Положение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ЦБР от 26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июня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1998 г. N 39-П</w:t>
      </w:r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br/>
        <w:t xml:space="preserve">"О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порядке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начисления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операциям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связанным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привлечением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размещением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денежных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средств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банками"</w:t>
      </w:r>
    </w:p>
    <w:p w:rsidR="00A37A5C" w:rsidRPr="00A37A5C" w:rsidRDefault="00A37A5C" w:rsidP="00A37A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val="uk-UA" w:eastAsia="uk-UA"/>
        </w:rPr>
      </w:pPr>
      <w:r w:rsidRPr="00A37A5C">
        <w:rPr>
          <w:rFonts w:ascii="Arial" w:eastAsia="Times New Roman" w:hAnsi="Arial" w:cs="Arial"/>
          <w:color w:val="106BBE"/>
          <w:sz w:val="20"/>
          <w:szCs w:val="20"/>
          <w:lang w:val="uk-UA" w:eastAsia="uk-UA"/>
        </w:rPr>
        <w:t>(</w:t>
      </w:r>
      <w:proofErr w:type="spellStart"/>
      <w:r w:rsidRPr="00A37A5C">
        <w:rPr>
          <w:rFonts w:ascii="Arial" w:eastAsia="Times New Roman" w:hAnsi="Arial" w:cs="Arial"/>
          <w:color w:val="106BBE"/>
          <w:sz w:val="20"/>
          <w:szCs w:val="20"/>
          <w:lang w:val="uk-UA" w:eastAsia="uk-UA"/>
        </w:rPr>
        <w:t>Информация</w:t>
      </w:r>
      <w:proofErr w:type="spellEnd"/>
      <w:r w:rsidRPr="00A37A5C">
        <w:rPr>
          <w:rFonts w:ascii="Arial" w:eastAsia="Times New Roman" w:hAnsi="Arial" w:cs="Arial"/>
          <w:color w:val="106BBE"/>
          <w:sz w:val="20"/>
          <w:szCs w:val="20"/>
          <w:lang w:val="uk-UA" w:eastAsia="uk-UA"/>
        </w:rPr>
        <w:t xml:space="preserve"> об </w:t>
      </w:r>
      <w:proofErr w:type="spellStart"/>
      <w:r w:rsidRPr="00A37A5C">
        <w:rPr>
          <w:rFonts w:ascii="Arial" w:eastAsia="Times New Roman" w:hAnsi="Arial" w:cs="Arial"/>
          <w:color w:val="106BBE"/>
          <w:sz w:val="20"/>
          <w:szCs w:val="20"/>
          <w:lang w:val="uk-UA" w:eastAsia="uk-UA"/>
        </w:rPr>
        <w:t>изменениях</w:t>
      </w:r>
      <w:proofErr w:type="spellEnd"/>
      <w:r w:rsidRPr="00A37A5C">
        <w:rPr>
          <w:rFonts w:ascii="Arial" w:eastAsia="Times New Roman" w:hAnsi="Arial" w:cs="Arial"/>
          <w:color w:val="106BBE"/>
          <w:sz w:val="20"/>
          <w:szCs w:val="20"/>
          <w:lang w:val="uk-UA" w:eastAsia="uk-UA"/>
        </w:rPr>
        <w:t> )</w:t>
      </w:r>
    </w:p>
    <w:p w:rsidR="00A37A5C" w:rsidRPr="00A37A5C" w:rsidRDefault="00A37A5C" w:rsidP="00A37A5C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val="uk-UA" w:eastAsia="uk-UA"/>
        </w:rPr>
      </w:pPr>
      <w:bookmarkStart w:id="0" w:name="_GoBack"/>
      <w:bookmarkEnd w:id="0"/>
      <w:r w:rsidRPr="00A37A5C">
        <w:rPr>
          <w:rFonts w:ascii="Arial" w:eastAsia="Times New Roman" w:hAnsi="Arial" w:cs="Arial"/>
          <w:color w:val="353842"/>
          <w:sz w:val="24"/>
          <w:szCs w:val="24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1. Предмет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регулирования</w:t>
      </w:r>
      <w:proofErr w:type="spellEnd"/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1.1.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Настоящее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Положение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определяет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порядок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активным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пассивным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операциям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связанным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привлечением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размещением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клиентов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 -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физических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юридических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лиц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как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национальной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валюте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Российской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Федерации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так и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иностранных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валютах, 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также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за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использование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находящихся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счетах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осуществляемых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основании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договоров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заключаемых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нормами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Граж</w:t>
      </w:r>
      <w:proofErr w:type="spellEnd"/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 xml:space="preserve">данского </w:t>
      </w:r>
      <w:proofErr w:type="spellStart"/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кодекса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 Ро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ссийской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Федерации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1.2.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Настоящее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Положение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регламентирует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порядок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кредитным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договорам,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заключаемым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между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России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банками.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Указанный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порядок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устанавливается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соответствующими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нормативными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актами Банка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России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1.3.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Настоящее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Положение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регулирует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отношения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ведению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клиентов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этот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порядок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регламентируется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соответствующими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нормативными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актами Банка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России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1.4. Настоящее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Положение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определяет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порядок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причитающихся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уплате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получению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долговым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обязательствам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юридических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физических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лиц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(векселям,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депозитным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сберегательным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сертификатам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облигациям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другим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долговым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обязательствам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),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операциям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осуществляемым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использованием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платежных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карт, 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также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порядок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взимания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платы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за услуги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совершению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операций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использованием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платежных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карт.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1.5.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Настоящее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Положение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применяется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небанковским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кредитным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организациям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части,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соответствующей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статусу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небанковской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кредитной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организации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установленному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действующим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гражданским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банковским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законодательством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также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нормативными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актами Банка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России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2.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Термины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определения</w:t>
      </w:r>
      <w:proofErr w:type="spellEnd"/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Утратила силу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3.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Общие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положения</w:t>
      </w:r>
      <w:proofErr w:type="spellEnd"/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3.1.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со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ст.30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 Федерального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закона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"О банках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деятельности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"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отношения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между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банком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клиентами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физическими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юридическими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лицами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включая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банки)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осуществляются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основе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договоров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/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соглашений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далее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тексту - "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договор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"),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заключаемых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учетом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требований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глав 42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,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44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,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45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 и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статей 421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,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422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Гражданского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Кодекса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Российской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Федерации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далее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- ГК РФ).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3.2. Проценты,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начисленные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привлеченным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размещенным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отражаются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бухгалтерском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учете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основании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подписанного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уполномоченным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должностным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лицом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распоряжения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внутреннего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документа банка),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выдаваемого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бухгалтерскому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подразделению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lastRenderedPageBreak/>
        <w:t xml:space="preserve">3.3.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Уплата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получение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привлеченным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размещенным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осуществляется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форме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: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юридическими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лицами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только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безналичном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порядке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основании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расчетных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документов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физическими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лицами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-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безналичном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порядке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основании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расчетных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документов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наличными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средствами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без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ограничения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суммы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основании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приходных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расходных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кассовых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ордеров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3.4.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Уплата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либо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получение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производится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сроки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предусмотренные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соответствующим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договором.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3.5.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привлеченные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размещенные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начисляются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банком на остаток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задолженности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основному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долгу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учитываемой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соответствующем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лицевом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на начало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операционного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дня.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3.6. Банк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должен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обеспечить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программным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путем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ежедневное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каждому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договору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нарастающим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итогом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даты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последнего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отражения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бухгалтерском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учете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суммы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3.7. При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закрытии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клиентов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привлеченным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размещенным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начисляются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 дня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даты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фактического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закрытия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передачи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включительно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. При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этом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остаток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банковскому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банковскому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вкладу)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определяется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исходя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из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остатка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имеющегося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зачисленных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указанный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списанных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указанного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при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закрытии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(передаче).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3.8. 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Утратил силу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i/>
          <w:iCs/>
          <w:color w:val="353842"/>
          <w:sz w:val="26"/>
          <w:szCs w:val="26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3.9.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может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осуществляться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одним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из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четырех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способов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: по формулам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простых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сложных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использованием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фиксированной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либо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плавающей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процентной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ставки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условиями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договора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Если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договоре не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указывается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способ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то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осуществляется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формуле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простых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использованием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фиксированной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процентной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ставки.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При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суммы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привлеченным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размещенным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расчет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принимаются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величина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процентной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ставки (в процентах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годовых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фактическое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количество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календарных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дней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которое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привлечены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размещены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. При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этом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за базу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берется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действительное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число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календарных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дней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году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(365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366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дней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соответственно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).</w:t>
      </w:r>
    </w:p>
    <w:p w:rsidR="00A37A5C" w:rsidRPr="00A37A5C" w:rsidRDefault="00A37A5C" w:rsidP="00A37A5C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val="uk-UA" w:eastAsia="uk-UA"/>
        </w:rPr>
      </w:pPr>
      <w:r w:rsidRPr="00A37A5C">
        <w:rPr>
          <w:rFonts w:ascii="Arial" w:eastAsia="Times New Roman" w:hAnsi="Arial" w:cs="Arial"/>
          <w:color w:val="353842"/>
          <w:sz w:val="24"/>
          <w:szCs w:val="24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4. Порядок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начисления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банком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привлеченным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средствам</w:t>
      </w:r>
      <w:proofErr w:type="spellEnd"/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4.1.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привлеченным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депозиты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другие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начисляются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банком -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заемщиком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порядке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размере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предусмотренных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соответствующим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договором и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пунктом 3.5.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настоящего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Положения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4.2.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случаях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когда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срочный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либо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другой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вклад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иной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чем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вклад до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востребования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возвращается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вкладчику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требованию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истечения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срока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либо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наступления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обстоятельств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предусмотренных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депозита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вкладу (депозиту)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выплачиваются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размере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соответствующем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размеру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выплачиваемых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банком по 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lastRenderedPageBreak/>
        <w:t xml:space="preserve">вкладам "до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востребования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",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если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договором не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предусмотрен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иной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размер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4.2.1. При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возврате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уплачивает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вкладчику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начисленные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условиями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договора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4.2.2.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случаях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когда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вкладчик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требует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возврата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суммы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срочного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истечении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срока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либо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суммы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внесенного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условиях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возврата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наступлении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предусмотренных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обстоятельств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договор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считается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продленным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условиях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депозита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"до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востребования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",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если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иное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предусмотрено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договором.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4.3.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Если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иное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предусмотрено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сумму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выплачиваются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клиенту-вкладчику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требованию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истечении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каждого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квартала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отдельно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от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суммы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невостребованные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этот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срок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увеличивают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сумму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которую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начисляются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т.е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причисляются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вкладу).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4.4.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Если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иное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предусмотрено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сумма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начисленная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за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пользование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средствами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находящимися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зачисляется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истечении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каждого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квартала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4.5. Банк не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вправе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оказывать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предпочтение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акционерам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участникам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банка перед другими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клиентами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т.е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устанавливать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иные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условия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привлечения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более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высокая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процентная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ставка,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более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частый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период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капитализации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/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причисления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/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которые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размещаются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клиентами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одинаковых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условиях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сумма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срок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др.).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Требования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настоящего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пункта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распространяются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договоры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заключенные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после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вступления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силу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настоящего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Положения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При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этом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все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юридические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физические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лица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(в том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числе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потенциальные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клиенты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вправе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получить у банка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информацию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о видах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условиях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принимаемых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депозитов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), об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условиях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действующих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настоящее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время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договоров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депозита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4.6. Банк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вправе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одностороннем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порядке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изменять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размер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процентной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ставки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учитываемые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соответствующем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сроком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"до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востребования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",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если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иное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предусмотрено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(договором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).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При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уменьшении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размера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новый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размер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применяется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вкладам (депозитам),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внесенным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сообщения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клиентам-вкладчикам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об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изменении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ставок,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истечении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месяца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момента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соответствующего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сообщения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если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иное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предусмотрено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договором.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4.7. При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переносе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банком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условиями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договора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остатков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одного балансового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учету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привлеченных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другой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балансовый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учету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этих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же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например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случае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изменения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срока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вклада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/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депозита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/),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ведущийся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этом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же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начисляются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остатки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каждому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балансовому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прежнему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новому)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исходя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из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фактического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числа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календарных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дней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учета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каждом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из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этих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4.8. 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Утратил силу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i/>
          <w:iCs/>
          <w:color w:val="353842"/>
          <w:sz w:val="26"/>
          <w:szCs w:val="26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5. Порядок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начисления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размещенным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денежным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средствам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банка</w:t>
      </w:r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lastRenderedPageBreak/>
        <w:t xml:space="preserve">5.1.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размещенным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займы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кредиты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другие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банковские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межбанковские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кредиты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/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депозиты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поступают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пользу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банка-кредитора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размере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порядке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предусмотренных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соответствующим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договором на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предоставление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размещение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кредитным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договором,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договором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займа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договором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межбанковского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кредита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/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депозита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осуществляется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требов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аниями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пункта 3.5.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 настоящего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Положения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5.2. 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Утратил силу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i/>
          <w:iCs/>
          <w:color w:val="353842"/>
          <w:sz w:val="26"/>
          <w:szCs w:val="26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5.3. 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Утратил силу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i/>
          <w:iCs/>
          <w:color w:val="353842"/>
          <w:sz w:val="26"/>
          <w:szCs w:val="26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5.4.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случае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ликвидации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юридического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лица-должника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банка-должника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банк-кредитор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прекращает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дальнейшее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размещенным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у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должника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предъявляет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установленном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порядке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требования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к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ликвидационной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комиссии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отношении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всех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обязательств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юридического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лица-должника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банка-должника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включая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обязательства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уплате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5.5.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случае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неудовлетворения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или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неполного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удовлетворения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требований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банка-кредитора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просроченная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задолженность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процентам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ликвидируемого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юридического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лица-должника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банка-должника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должна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быть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списана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баланса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банка-кредитора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порядке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установленном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Банком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России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6.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Заключительные</w:t>
      </w:r>
      <w:proofErr w:type="spellEnd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b/>
          <w:bCs/>
          <w:color w:val="26282F"/>
          <w:sz w:val="26"/>
          <w:szCs w:val="26"/>
          <w:lang w:val="uk-UA" w:eastAsia="uk-UA"/>
        </w:rPr>
        <w:t>положения</w:t>
      </w:r>
      <w:proofErr w:type="spellEnd"/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6.1. 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Утратил силу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i/>
          <w:iCs/>
          <w:color w:val="353842"/>
          <w:sz w:val="26"/>
          <w:szCs w:val="26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6.2.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Настоящее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Положение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"О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порядке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операциям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связанным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привлечением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размещением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денежных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средств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банками,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отражения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указанных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операций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бухгалтерского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учета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" подлежит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опубликованию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 в "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Вестнике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Банка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России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"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вступает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силу с 1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января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1999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года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6.3. 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Утратил силу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6.4. К банкам,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нарушающим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требования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настоящего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Положения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применяются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меры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воздействия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предусм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отренные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статьей 75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 Федерального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закона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"О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Центральном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Российской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Федерации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(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России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)"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соответствующими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нормативными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актами Банка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России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.</w:t>
      </w:r>
    </w:p>
    <w:p w:rsidR="00A37A5C" w:rsidRPr="00A37A5C" w:rsidRDefault="00A37A5C" w:rsidP="00A37A5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6.5. С 1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января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1999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года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утрачивает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силу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Положение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порядке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начисления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процентов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и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отражения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по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счетам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бухгалтерского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учета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учреждениях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банков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,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доведенное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до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учреждений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банка </w:t>
      </w:r>
      <w:r w:rsidRPr="00A37A5C">
        <w:rPr>
          <w:rFonts w:ascii="Arial" w:eastAsia="Times New Roman" w:hAnsi="Arial" w:cs="Arial"/>
          <w:color w:val="106BBE"/>
          <w:sz w:val="26"/>
          <w:szCs w:val="26"/>
          <w:lang w:val="uk-UA" w:eastAsia="uk-UA"/>
        </w:rPr>
        <w:t>письмом</w:t>
      </w:r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 Го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сбанка СССР от 22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января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1991 г. N 338.</w:t>
      </w:r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Председатель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Центрального банка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5"/>
      </w:tblGrid>
      <w:tr w:rsidR="00A37A5C" w:rsidRPr="00A37A5C" w:rsidTr="00A37A5C">
        <w:trPr>
          <w:tblCellSpacing w:w="15" w:type="dxa"/>
        </w:trPr>
        <w:tc>
          <w:tcPr>
            <w:tcW w:w="2500" w:type="pct"/>
            <w:hideMark/>
          </w:tcPr>
          <w:p w:rsidR="00A37A5C" w:rsidRPr="00A37A5C" w:rsidRDefault="00A37A5C" w:rsidP="00A37A5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</w:pPr>
            <w:proofErr w:type="spellStart"/>
            <w:r w:rsidRPr="00A37A5C"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  <w:t>Российской</w:t>
            </w:r>
            <w:proofErr w:type="spellEnd"/>
            <w:r w:rsidRPr="00A37A5C"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A37A5C"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  <w:t>Федерации</w:t>
            </w:r>
            <w:proofErr w:type="spellEnd"/>
          </w:p>
        </w:tc>
        <w:tc>
          <w:tcPr>
            <w:tcW w:w="2500" w:type="pct"/>
            <w:hideMark/>
          </w:tcPr>
          <w:p w:rsidR="00A37A5C" w:rsidRPr="00A37A5C" w:rsidRDefault="00A37A5C" w:rsidP="00A37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</w:pPr>
            <w:r w:rsidRPr="00A37A5C"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  <w:t>С.К.</w:t>
            </w:r>
            <w:proofErr w:type="spellStart"/>
            <w:r w:rsidRPr="00A37A5C">
              <w:rPr>
                <w:rFonts w:ascii="Arial" w:eastAsia="Times New Roman" w:hAnsi="Arial" w:cs="Arial"/>
                <w:sz w:val="26"/>
                <w:szCs w:val="26"/>
                <w:lang w:val="uk-UA" w:eastAsia="uk-UA"/>
              </w:rPr>
              <w:t>Дубинин</w:t>
            </w:r>
            <w:proofErr w:type="spellEnd"/>
          </w:p>
        </w:tc>
      </w:tr>
    </w:tbl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Зарегистрировано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в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Минюсте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РФ 23 </w:t>
      </w: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июля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1998 г.</w:t>
      </w:r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proofErr w:type="spellStart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>Регистрационный</w:t>
      </w:r>
      <w:proofErr w:type="spellEnd"/>
      <w:r w:rsidRPr="00A37A5C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t xml:space="preserve"> N 1565</w:t>
      </w:r>
    </w:p>
    <w:p w:rsidR="00A37A5C" w:rsidRPr="00A37A5C" w:rsidRDefault="00A37A5C" w:rsidP="00A37A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A37A5C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</w:p>
    <w:p w:rsidR="001C6644" w:rsidRDefault="001C6644"/>
    <w:sectPr w:rsidR="001C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C"/>
    <w:rsid w:val="001C6644"/>
    <w:rsid w:val="00A3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4">
    <w:name w:val="heading 4"/>
    <w:basedOn w:val="a"/>
    <w:link w:val="40"/>
    <w:uiPriority w:val="9"/>
    <w:qFormat/>
    <w:rsid w:val="00A37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7A5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s3">
    <w:name w:val="s_3"/>
    <w:basedOn w:val="a"/>
    <w:rsid w:val="00A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37A5C"/>
  </w:style>
  <w:style w:type="paragraph" w:customStyle="1" w:styleId="s9">
    <w:name w:val="s_9"/>
    <w:basedOn w:val="a"/>
    <w:rsid w:val="00A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link">
    <w:name w:val="link"/>
    <w:basedOn w:val="a0"/>
    <w:rsid w:val="00A37A5C"/>
  </w:style>
  <w:style w:type="paragraph" w:styleId="a3">
    <w:name w:val="Normal (Web)"/>
    <w:basedOn w:val="a"/>
    <w:uiPriority w:val="99"/>
    <w:semiHidden/>
    <w:unhideWhenUsed/>
    <w:rsid w:val="00A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1">
    <w:name w:val="s_1"/>
    <w:basedOn w:val="a"/>
    <w:rsid w:val="00A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22">
    <w:name w:val="s_22"/>
    <w:basedOn w:val="a"/>
    <w:rsid w:val="00A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16">
    <w:name w:val="s_16"/>
    <w:basedOn w:val="a"/>
    <w:rsid w:val="00A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4">
    <w:name w:val="heading 4"/>
    <w:basedOn w:val="a"/>
    <w:link w:val="40"/>
    <w:uiPriority w:val="9"/>
    <w:qFormat/>
    <w:rsid w:val="00A37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7A5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s3">
    <w:name w:val="s_3"/>
    <w:basedOn w:val="a"/>
    <w:rsid w:val="00A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37A5C"/>
  </w:style>
  <w:style w:type="paragraph" w:customStyle="1" w:styleId="s9">
    <w:name w:val="s_9"/>
    <w:basedOn w:val="a"/>
    <w:rsid w:val="00A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link">
    <w:name w:val="link"/>
    <w:basedOn w:val="a0"/>
    <w:rsid w:val="00A37A5C"/>
  </w:style>
  <w:style w:type="paragraph" w:styleId="a3">
    <w:name w:val="Normal (Web)"/>
    <w:basedOn w:val="a"/>
    <w:uiPriority w:val="99"/>
    <w:semiHidden/>
    <w:unhideWhenUsed/>
    <w:rsid w:val="00A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1">
    <w:name w:val="s_1"/>
    <w:basedOn w:val="a"/>
    <w:rsid w:val="00A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22">
    <w:name w:val="s_22"/>
    <w:basedOn w:val="a"/>
    <w:rsid w:val="00A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16">
    <w:name w:val="s_16"/>
    <w:basedOn w:val="a"/>
    <w:rsid w:val="00A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6514</Words>
  <Characters>3714</Characters>
  <Application>Microsoft Office Word</Application>
  <DocSecurity>0</DocSecurity>
  <Lines>30</Lines>
  <Paragraphs>20</Paragraphs>
  <ScaleCrop>false</ScaleCrop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2014-12-12T19:44:00Z</dcterms:created>
  <dcterms:modified xsi:type="dcterms:W3CDTF">2014-12-12T19:46:00Z</dcterms:modified>
</cp:coreProperties>
</file>