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44" w:rsidRPr="00F3007E" w:rsidRDefault="00576F44" w:rsidP="00576F44">
      <w:pPr>
        <w:pStyle w:val="000"/>
        <w:rPr>
          <w:b/>
          <w:color w:val="C00000"/>
          <w:sz w:val="44"/>
          <w:szCs w:val="44"/>
        </w:rPr>
      </w:pPr>
    </w:p>
    <w:p w:rsidR="003E7057" w:rsidRPr="008A2316" w:rsidRDefault="00576F44" w:rsidP="008A2316">
      <w:pPr>
        <w:pStyle w:val="000"/>
        <w:jc w:val="both"/>
        <w:rPr>
          <w:color w:val="auto"/>
        </w:rPr>
      </w:pPr>
      <w:r w:rsidRPr="008A2316">
        <w:rPr>
          <w:b/>
          <w:color w:val="auto"/>
          <w:sz w:val="40"/>
          <w:szCs w:val="40"/>
        </w:rPr>
        <w:t xml:space="preserve">Расшифровка кодов доходов </w:t>
      </w:r>
      <w:r w:rsidR="00F3007E" w:rsidRPr="008A2316">
        <w:rPr>
          <w:b/>
          <w:color w:val="auto"/>
          <w:sz w:val="40"/>
          <w:szCs w:val="40"/>
        </w:rPr>
        <w:t xml:space="preserve">в справке 2-НДФЛ </w:t>
      </w:r>
      <w:bookmarkStart w:id="0" w:name="_GoBack"/>
      <w:bookmarkEnd w:id="0"/>
    </w:p>
    <w:p w:rsidR="00576F44" w:rsidRPr="00576F44" w:rsidRDefault="00576F44" w:rsidP="00576F44"/>
    <w:tbl>
      <w:tblPr>
        <w:tblStyle w:val="a9"/>
        <w:tblpPr w:leftFromText="45" w:rightFromText="45" w:bottomFromText="390" w:vertAnchor="text"/>
        <w:tblW w:w="9606" w:type="dxa"/>
        <w:tblLook w:val="04A0"/>
      </w:tblPr>
      <w:tblGrid>
        <w:gridCol w:w="930"/>
        <w:gridCol w:w="8676"/>
      </w:tblGrid>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Код дохода</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Наименование дохода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1010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Дивиденды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1011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Проценты (за исключением процентов по облигациям с ипотечным покрытием, эмитированным до 01.01.2007, доходов в виде процентов, получаемых по вкладам в банках, и доходов, получаемых при погашении векселя), включая дисконт, полученный по долговому обязательству любого вида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1110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Проценты по облигациям с ипотечным покрытием, эмитированным до 01.01.2007</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1120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01.01.2007</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в виде иных страховых выплат по договорам страхования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1201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в виде страховых выплат по договорам страхования в виде оплаты стоимости санаторно-курортных путевок</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1202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в виде страховых выплат по договорам добровольного страхования жизни (за исключением договоров добровольного пенсионного страхования) в случае выплат, связанных с дожитием застрахованного лица до определенного возраста или срока, либо в случае наступления иного события (за исключением досрочного расторжения договоров), в части превышения сумм внесенных налогоплательщиком страховых взносов, увеличенных на сумму, рассчитанную путем последовательного суммирования произведений сумм страховых взносов, внесенных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1203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в виде страховых выплат по договорам добровольного имущественного страхования (включая страхование гражданской ответственности за причинение вреда имуществу третьих лиц и (или) страхование гражданской ответственности владельцев транспортных средств) в части превышения рыночной стоимости застрахованного имущества в случае гибели или уничтожения застрахованного имущества, либо расходов, необходимых для проведения ремонта (восстановления) этого имущества (в случае, если ремонт не осуществлялся), или стоимости ремонта (восстановления) этого имущества (в случае осуществления ремонта), увеличенных на сумму уплаченных по страхованию этого имущества страховых взносов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1211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в виде сумм страховых взносов по договорам страхования,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работодателями в отношении тех физических лиц, за которых они вносят страховые взносы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1212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денежных (выкупных) сумм, выплачиваемых по договорам добровольного страхования жизни, подлежащих в соответствии с правилами страхования и условиями договоров выплате при досрочном расторжении договоров добровольного страхования жизни</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1213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денежных (выкупных) сумм, выплачиваемые по договорам добровольного пенсионного страхования и подлежащих в соответствии с правилами страхования и условиями договоров выплате при досрочном расторжении договоров добровольного пенсионного страхования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1215</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 xml:space="preserve">Доходы в виде денежных (выкупных) сумм, выплачиваемые по договорам негосударственного </w:t>
            </w:r>
            <w:r w:rsidRPr="00576F44">
              <w:rPr>
                <w:rFonts w:ascii="Arial" w:eastAsia="Times New Roman" w:hAnsi="Arial" w:cs="Arial"/>
                <w:color w:val="000000"/>
                <w:sz w:val="18"/>
                <w:szCs w:val="18"/>
                <w:lang w:eastAsia="ru-RU"/>
              </w:rPr>
              <w:lastRenderedPageBreak/>
              <w:t>пенсионного обеспечения и подлежащих в соответствии с правилами страхования и условиями договоров выплате при досрочном расторжении договоров негосударственного пенсионного обеспечения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lastRenderedPageBreak/>
              <w:t>1219</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НК РФ, учитываемый в случае расторжения договора добровольного пенсионного страхования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1220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НК РФ, учитываемый в случае расторжения негосударственного пенсионного обеспечения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1240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пенсий, выплачиваемых по договорам негосударственного пенсионного обеспечения, заключенным организациями и иными работодателями с российскими негосударственными пенсионными фондами, а также суммы пенсий, выплачиваемых по договорам негосударственного пенсионного обеспечения, заключенным физическими лицами с российскими негосударственными фондами в пользу других лиц</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1300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использования авторских или иных смежных прав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1301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отчуждения авторских или иных смежных прав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1400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предоставления в аренду или иного использования имущества (кроме аналогичных доходов от сдачи в аренду любых транспортных средств и средств связи, компьютерных сетей)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по операциям с ценными бумагами, обращающимися на организованном рынке ценных бумаг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1531</w:t>
            </w:r>
          </w:p>
        </w:tc>
        <w:tc>
          <w:tcPr>
            <w:tcW w:w="8676" w:type="dxa"/>
            <w:hideMark/>
          </w:tcPr>
          <w:p w:rsidR="00576F44" w:rsidRPr="00576F44" w:rsidRDefault="00576F44" w:rsidP="00576F44">
            <w:pPr>
              <w:spacing w:after="315"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ценными бумагами, не обращающимися на организованном рынке ценных бумаг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производными финансовыми инструментами, не обращающимися на организованном рынке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1535</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1536</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1537</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процентов по займу, полученные по совокупности операций РЕПО</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1538</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процентов, полученных в налоговом периоде по совокупности договоров займа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1539</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связанным с открытием короткой позиции, являющимся объектом операций РЕПО</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реализации долей участия в уставном капитале организаций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получаемые в результате обмена ценных бумаг, переданных по первой части РЕПО</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действительной стоимости доли в уставном капитале организации, выплачиваемые при выходе участника из организации</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1544</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1545</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1546</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w:t>
            </w:r>
            <w:r w:rsidRPr="00576F44">
              <w:rPr>
                <w:rFonts w:ascii="Arial" w:eastAsia="Times New Roman" w:hAnsi="Arial" w:cs="Arial"/>
                <w:color w:val="000000"/>
                <w:sz w:val="18"/>
                <w:szCs w:val="18"/>
                <w:lang w:eastAsia="ru-RU"/>
              </w:rPr>
              <w:lastRenderedPageBreak/>
              <w:t>бумаги или фондовые индексы,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lastRenderedPageBreak/>
              <w:t>1547</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производными финансовыми инструментами, не обращающимися на организованном рынке ценных бумаг,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1548</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1549</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учитываемым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1550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налогоплательщиком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1551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процентов по займу, полученные по совокупности операций РЕПО, учитываемых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1552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процентов, полученных в налоговом периоде по совокупности договоров займа, учитываемых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1553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 операциям, связанным с открытием короткой позиции, являющимся объектом операций РЕПО, учитываемых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1554</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получаемые в результате обмена ценных бумаг, переданных по первой части РЕПО, учитываемых на индивидуальном инвестиционном счете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литературных произведений, в том числе для театра, кино, эстрады и цирка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Вознаграждение, получаемое налогоплательщиком за выполнение трудовых или иных обязанностей; денежное содержание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2001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Вознаграждение директоров и иные аналогичные выплаты, получаемые членами органа управления организации (совета директоров или иного подобного органа)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2002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2003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вознаграждений, выплачиваемых за счет средств прибыли организации, средств специального назначения или целевых поступлений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Выплаты по договорам гражданско-правового характера (за исключением авторских вознаграждений)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2012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отпускных выплат</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литературных произведений, в том числе для театра, кино, эстрады и цирка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художественно-графических произведений, фоторабот для печати, произведений архитектуры и дизайна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2203</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произведений скульптуры, монументально 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2204</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аудиовизуальных произведений (видео-, теле- и кинофильмов)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2205</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музыкальных произведений: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2206</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 xml:space="preserve">Авторские вознаграждения (вознаграждения) за создание других музыкальных произведений, в том </w:t>
            </w:r>
            <w:r w:rsidRPr="00576F44">
              <w:rPr>
                <w:rFonts w:ascii="Arial" w:eastAsia="Times New Roman" w:hAnsi="Arial" w:cs="Arial"/>
                <w:color w:val="000000"/>
                <w:sz w:val="18"/>
                <w:szCs w:val="18"/>
                <w:lang w:eastAsia="ru-RU"/>
              </w:rPr>
              <w:lastRenderedPageBreak/>
              <w:t>числе подготовленных к опубликованию</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lastRenderedPageBreak/>
              <w:t>2207</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исполнение произведений литературы и искусства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2208</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(вознаграждения) за создание научных трудов и разработок</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2209</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Авторские вознаграждения за открытия, изобретения, полезные модели, промышленные образцы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2210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Вознаграждение, выплачиваемое наследникам (правопреемникам) авторов произведений науки, литературы, искусства, а также открытий, изобретений и промышленных образцов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2300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Пособие по временной нетрудоспособности</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2400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предоставления в аренду или иного использования любых транспортных средств, включая морские, речные, воздушные суда и автомобильные транспортные средства, в связи с перевозками, а также штрафы и иные санкции за простой (задержку) таких транспортных средств в пунктах погрузки (выгрузки); доходы, полученные от предоставления в аренду или иного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2510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Оплата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2520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 полученный налогоплательщиком в натуральной форме, в виде полной или частичной оплаты товаров, выполненных в интересах налогоплательщика работ, оказанных в интересах налогоплательщика услуг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2530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Оплата труда в натуральной форме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2610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2630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2640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выгода, полученная от приобретения ценных бумаг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2641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выгода, полученная от приобретения производных финансовых инструментов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помощь (за исключением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материальной помощи, оказываемой инвалидам общественными организациями инвалидов, и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2720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Стоимость подарков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2730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Стоимость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2740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Стоимость выигрышей и призов, получаемых в проводимых конкурсах, играх и других мероприятиях в целях рекламы товаров, работ и услуг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2750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Стоимость призов в денежной и натуральной формах, полученных на конкурсах и соревнованиях, проводимых не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и не в целях рекламы товаров (работ и услуг)</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2760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помощь, оказываемая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2761</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Материальная помощь, оказываемая инвалидам общественными организациями инвалидов</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2762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2770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lastRenderedPageBreak/>
              <w:t>2780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Возмещение (оплата) стоимости приобретенных налогоплательщиком (для налогоплательщика) медикаментов, назначенных им лечащим врачом, в иных случаях, не подпадающих под действие пункта 28 статьи 217 НК РФ</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2790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Сумма помощи (в денежной и натуральной формах), а также стоимость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2800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Проценты (дисконт), полученные при оплате предъявленного к платежу векселя</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2900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полученные от операций с иностранной валютой</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3010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выигрышей, полученных в букмекерской конторе и тотализаторе</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3020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процентов, получаемых по вкладам в банках</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3022</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w:t>
            </w:r>
          </w:p>
        </w:tc>
      </w:tr>
      <w:tr w:rsidR="00576F44" w:rsidRPr="00576F44" w:rsidTr="00F3007E">
        <w:tc>
          <w:tcPr>
            <w:tcW w:w="0" w:type="auto"/>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4800</w:t>
            </w:r>
          </w:p>
        </w:tc>
        <w:tc>
          <w:tcPr>
            <w:tcW w:w="8676" w:type="dxa"/>
            <w:hideMark/>
          </w:tcPr>
          <w:p w:rsidR="00576F44" w:rsidRPr="00576F44" w:rsidRDefault="00576F44" w:rsidP="00576F44">
            <w:pPr>
              <w:spacing w:line="270" w:lineRule="atLeast"/>
              <w:rPr>
                <w:rFonts w:ascii="Arial" w:eastAsia="Times New Roman" w:hAnsi="Arial" w:cs="Arial"/>
                <w:color w:val="000000"/>
                <w:sz w:val="18"/>
                <w:szCs w:val="18"/>
                <w:lang w:eastAsia="ru-RU"/>
              </w:rPr>
            </w:pPr>
            <w:r w:rsidRPr="00576F44">
              <w:rPr>
                <w:rFonts w:ascii="Arial" w:eastAsia="Times New Roman" w:hAnsi="Arial" w:cs="Arial"/>
                <w:color w:val="000000"/>
                <w:sz w:val="18"/>
                <w:szCs w:val="18"/>
                <w:lang w:eastAsia="ru-RU"/>
              </w:rPr>
              <w:t>Иные доходы</w:t>
            </w:r>
          </w:p>
        </w:tc>
      </w:tr>
    </w:tbl>
    <w:p w:rsidR="00576F44" w:rsidRDefault="00576F44" w:rsidP="00576F44">
      <w:pPr>
        <w:rPr>
          <w:rFonts w:ascii="Arial" w:hAnsi="Arial" w:cs="Arial"/>
          <w:color w:val="000000"/>
          <w:sz w:val="21"/>
          <w:szCs w:val="21"/>
          <w:shd w:val="clear" w:color="auto" w:fill="FFFFFF"/>
        </w:rPr>
      </w:pPr>
    </w:p>
    <w:p w:rsidR="00576F44" w:rsidRDefault="00576F44" w:rsidP="00576F44">
      <w:pPr>
        <w:rPr>
          <w:rFonts w:ascii="Arial" w:hAnsi="Arial" w:cs="Arial"/>
          <w:color w:val="000000"/>
          <w:sz w:val="21"/>
          <w:szCs w:val="21"/>
        </w:rPr>
      </w:pPr>
    </w:p>
    <w:p w:rsidR="00576F44" w:rsidRDefault="00576F44"/>
    <w:sectPr w:rsidR="00576F44" w:rsidSect="00576F44">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85" w:rsidRDefault="00621585" w:rsidP="00576F44">
      <w:pPr>
        <w:spacing w:after="0" w:line="240" w:lineRule="auto"/>
      </w:pPr>
      <w:r>
        <w:separator/>
      </w:r>
    </w:p>
  </w:endnote>
  <w:endnote w:type="continuationSeparator" w:id="0">
    <w:p w:rsidR="00621585" w:rsidRDefault="00621585" w:rsidP="00576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GothicBookC">
    <w:panose1 w:val="00000000000000000000"/>
    <w:charset w:val="00"/>
    <w:family w:val="modern"/>
    <w:notTrueType/>
    <w:pitch w:val="variable"/>
    <w:sig w:usb0="00000203" w:usb1="00000000" w:usb2="00000000" w:usb3="00000000" w:csb0="00000005" w:csb1="00000000"/>
  </w:font>
  <w:font w:name="FranklinGothicHeavyC">
    <w:panose1 w:val="00000000000000000000"/>
    <w:charset w:val="00"/>
    <w:family w:val="modern"/>
    <w:notTrueType/>
    <w:pitch w:val="variable"/>
    <w:sig w:usb0="00000203" w:usb1="00000000" w:usb2="00000000" w:usb3="00000000" w:csb0="00000005" w:csb1="00000000"/>
  </w:font>
  <w:font w:name="FranklinGothicDemiC">
    <w:panose1 w:val="00000000000000000000"/>
    <w:charset w:val="00"/>
    <w:family w:val="moder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85" w:rsidRDefault="00621585" w:rsidP="00576F44">
      <w:pPr>
        <w:spacing w:after="0" w:line="240" w:lineRule="auto"/>
      </w:pPr>
      <w:r>
        <w:separator/>
      </w:r>
    </w:p>
  </w:footnote>
  <w:footnote w:type="continuationSeparator" w:id="0">
    <w:p w:rsidR="00621585" w:rsidRDefault="00621585" w:rsidP="00576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44" w:rsidRPr="00576F44" w:rsidRDefault="00576F44" w:rsidP="00576F44">
    <w:pPr>
      <w:pStyle w:val="a5"/>
      <w:jc w:val="right"/>
      <w:rPr>
        <w:rFonts w:ascii="Arial" w:hAnsi="Arial" w:cs="Arial"/>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72" w:type="dxa"/>
      <w:tblLook w:val="04A0"/>
    </w:tblPr>
    <w:tblGrid>
      <w:gridCol w:w="5637"/>
      <w:gridCol w:w="2126"/>
      <w:gridCol w:w="709"/>
    </w:tblGrid>
    <w:tr w:rsidR="00F3007E" w:rsidRPr="0006408F" w:rsidTr="009B43E8">
      <w:trPr>
        <w:trHeight w:val="357"/>
      </w:trPr>
      <w:tc>
        <w:tcPr>
          <w:tcW w:w="5637" w:type="dxa"/>
          <w:vMerge w:val="restart"/>
          <w:shd w:val="clear" w:color="auto" w:fill="auto"/>
        </w:tcPr>
        <w:p w:rsidR="00F3007E" w:rsidRPr="0006408F" w:rsidRDefault="00F3007E" w:rsidP="00F3007E">
          <w:pPr>
            <w:pStyle w:val="a5"/>
            <w:rPr>
              <w:rFonts w:ascii="Arial" w:hAnsi="Arial" w:cs="Arial"/>
            </w:rPr>
          </w:pPr>
          <w:r>
            <w:rPr>
              <w:noProof/>
              <w:lang w:eastAsia="ru-RU"/>
            </w:rPr>
            <w:drawing>
              <wp:inline distT="0" distB="0" distL="0" distR="0">
                <wp:extent cx="1581150" cy="723900"/>
                <wp:effectExtent l="0" t="0" r="0" b="0"/>
                <wp:docPr id="1" name="Рисунок 1" descr="Электронный журнал «Российский налоговый курь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онный журнал «Российский налоговый курье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723900"/>
                        </a:xfrm>
                        <a:prstGeom prst="rect">
                          <a:avLst/>
                        </a:prstGeom>
                        <a:noFill/>
                        <a:ln>
                          <a:noFill/>
                        </a:ln>
                      </pic:spPr>
                    </pic:pic>
                  </a:graphicData>
                </a:graphic>
              </wp:inline>
            </w:drawing>
          </w:r>
        </w:p>
      </w:tc>
      <w:tc>
        <w:tcPr>
          <w:tcW w:w="2835" w:type="dxa"/>
          <w:gridSpan w:val="2"/>
          <w:shd w:val="clear" w:color="auto" w:fill="auto"/>
          <w:vAlign w:val="bottom"/>
        </w:tcPr>
        <w:p w:rsidR="00F3007E" w:rsidRPr="0006408F" w:rsidRDefault="00F3007E" w:rsidP="00F3007E">
          <w:pPr>
            <w:pStyle w:val="a5"/>
            <w:rPr>
              <w:rFonts w:ascii="Arial" w:hAnsi="Arial" w:cs="Arial"/>
              <w:b/>
              <w:sz w:val="24"/>
              <w:szCs w:val="24"/>
            </w:rPr>
          </w:pPr>
          <w:r>
            <w:rPr>
              <w:rFonts w:ascii="Arial" w:hAnsi="Arial" w:cs="Arial"/>
              <w:b/>
              <w:sz w:val="24"/>
              <w:szCs w:val="24"/>
            </w:rPr>
            <w:t>П</w:t>
          </w:r>
          <w:r w:rsidRPr="0006408F">
            <w:rPr>
              <w:rFonts w:ascii="Arial" w:hAnsi="Arial" w:cs="Arial"/>
              <w:b/>
              <w:sz w:val="24"/>
              <w:szCs w:val="24"/>
            </w:rPr>
            <w:t xml:space="preserve">одписка </w:t>
          </w:r>
          <w:r>
            <w:rPr>
              <w:rFonts w:ascii="Arial" w:hAnsi="Arial" w:cs="Arial"/>
              <w:b/>
              <w:sz w:val="24"/>
              <w:szCs w:val="24"/>
            </w:rPr>
            <w:t>на журнал</w:t>
          </w:r>
        </w:p>
      </w:tc>
    </w:tr>
    <w:tr w:rsidR="00F3007E" w:rsidRPr="0006408F" w:rsidTr="009B43E8">
      <w:trPr>
        <w:gridAfter w:val="1"/>
        <w:wAfter w:w="709" w:type="dxa"/>
        <w:trHeight w:val="80"/>
      </w:trPr>
      <w:tc>
        <w:tcPr>
          <w:tcW w:w="5637" w:type="dxa"/>
          <w:vMerge/>
          <w:shd w:val="clear" w:color="auto" w:fill="auto"/>
        </w:tcPr>
        <w:p w:rsidR="00F3007E" w:rsidRPr="0006408F" w:rsidRDefault="00F3007E" w:rsidP="00F3007E">
          <w:pPr>
            <w:pStyle w:val="a5"/>
            <w:rPr>
              <w:rFonts w:ascii="Arial" w:hAnsi="Arial" w:cs="Arial"/>
              <w:noProof/>
            </w:rPr>
          </w:pPr>
        </w:p>
      </w:tc>
      <w:tc>
        <w:tcPr>
          <w:tcW w:w="2126" w:type="dxa"/>
          <w:shd w:val="clear" w:color="auto" w:fill="auto"/>
          <w:vAlign w:val="bottom"/>
        </w:tcPr>
        <w:p w:rsidR="00F3007E" w:rsidRPr="0006408F" w:rsidRDefault="00F3007E" w:rsidP="00F3007E">
          <w:pPr>
            <w:pStyle w:val="a5"/>
            <w:rPr>
              <w:rFonts w:ascii="Arial" w:hAnsi="Arial" w:cs="Arial"/>
              <w:sz w:val="20"/>
              <w:szCs w:val="20"/>
            </w:rPr>
          </w:pPr>
          <w:r w:rsidRPr="0006408F">
            <w:rPr>
              <w:rFonts w:ascii="Arial" w:hAnsi="Arial" w:cs="Arial"/>
              <w:sz w:val="20"/>
              <w:szCs w:val="20"/>
            </w:rPr>
            <w:t>8 495 785-01-1</w:t>
          </w:r>
          <w:r>
            <w:rPr>
              <w:rFonts w:ascii="Arial" w:hAnsi="Arial" w:cs="Arial"/>
              <w:sz w:val="20"/>
              <w:szCs w:val="20"/>
            </w:rPr>
            <w:t>3</w:t>
          </w:r>
        </w:p>
        <w:p w:rsidR="00F3007E" w:rsidRPr="0006408F" w:rsidRDefault="00F3007E" w:rsidP="00F3007E">
          <w:pPr>
            <w:pStyle w:val="a5"/>
            <w:rPr>
              <w:rFonts w:ascii="Arial" w:hAnsi="Arial" w:cs="Arial"/>
              <w:b/>
            </w:rPr>
          </w:pPr>
          <w:r>
            <w:rPr>
              <w:rFonts w:ascii="Arial" w:hAnsi="Arial" w:cs="Arial"/>
              <w:sz w:val="20"/>
              <w:szCs w:val="20"/>
            </w:rPr>
            <w:t>8 800 550-15-57</w:t>
          </w:r>
        </w:p>
      </w:tc>
    </w:tr>
  </w:tbl>
  <w:p w:rsidR="00F3007E" w:rsidRPr="00F3007E" w:rsidRDefault="00F3007E" w:rsidP="00F300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6F44"/>
    <w:rsid w:val="000C3312"/>
    <w:rsid w:val="001B5998"/>
    <w:rsid w:val="00285A15"/>
    <w:rsid w:val="003E7057"/>
    <w:rsid w:val="00576F44"/>
    <w:rsid w:val="00621585"/>
    <w:rsid w:val="006C07A3"/>
    <w:rsid w:val="00773A52"/>
    <w:rsid w:val="008A2316"/>
    <w:rsid w:val="00D90BA0"/>
    <w:rsid w:val="00E15AF9"/>
    <w:rsid w:val="00F3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52"/>
  </w:style>
  <w:style w:type="paragraph" w:styleId="2">
    <w:name w:val="heading 2"/>
    <w:basedOn w:val="a"/>
    <w:link w:val="20"/>
    <w:uiPriority w:val="9"/>
    <w:qFormat/>
    <w:rsid w:val="00576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6F4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76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6F44"/>
    <w:rPr>
      <w:color w:val="0000FF" w:themeColor="hyperlink"/>
      <w:u w:val="single"/>
    </w:rPr>
  </w:style>
  <w:style w:type="paragraph" w:customStyle="1" w:styleId="000">
    <w:name w:val="000_таблица_заг"/>
    <w:basedOn w:val="a"/>
    <w:next w:val="a"/>
    <w:uiPriority w:val="68"/>
    <w:rsid w:val="00576F44"/>
    <w:pPr>
      <w:autoSpaceDE w:val="0"/>
      <w:autoSpaceDN w:val="0"/>
      <w:adjustRightInd w:val="0"/>
      <w:spacing w:after="80" w:line="240" w:lineRule="atLeast"/>
      <w:textAlignment w:val="center"/>
    </w:pPr>
    <w:rPr>
      <w:rFonts w:ascii="Arial" w:eastAsia="Times New Roman" w:hAnsi="Arial" w:cs="FranklinGothicBookC"/>
      <w:color w:val="000000"/>
      <w:sz w:val="28"/>
      <w:szCs w:val="24"/>
    </w:rPr>
  </w:style>
  <w:style w:type="paragraph" w:customStyle="1" w:styleId="0000">
    <w:name w:val="000_таблица шапка"/>
    <w:basedOn w:val="a"/>
    <w:next w:val="a"/>
    <w:uiPriority w:val="69"/>
    <w:rsid w:val="00576F44"/>
    <w:pPr>
      <w:autoSpaceDE w:val="0"/>
      <w:autoSpaceDN w:val="0"/>
      <w:adjustRightInd w:val="0"/>
      <w:spacing w:after="0" w:line="180" w:lineRule="atLeast"/>
      <w:textAlignment w:val="center"/>
    </w:pPr>
    <w:rPr>
      <w:rFonts w:ascii="Arial" w:eastAsia="Times New Roman" w:hAnsi="Arial" w:cs="FranklinGothicHeavyC"/>
      <w:b/>
      <w:color w:val="000000"/>
      <w:szCs w:val="17"/>
    </w:rPr>
  </w:style>
  <w:style w:type="paragraph" w:customStyle="1" w:styleId="0001">
    <w:name w:val="000_таблица текст"/>
    <w:basedOn w:val="a"/>
    <w:next w:val="a"/>
    <w:uiPriority w:val="70"/>
    <w:rsid w:val="00576F44"/>
    <w:pPr>
      <w:autoSpaceDE w:val="0"/>
      <w:autoSpaceDN w:val="0"/>
      <w:adjustRightInd w:val="0"/>
      <w:spacing w:after="0" w:line="190" w:lineRule="atLeast"/>
      <w:textAlignment w:val="center"/>
    </w:pPr>
    <w:rPr>
      <w:rFonts w:ascii="Arial" w:eastAsia="Times New Roman" w:hAnsi="Arial" w:cs="FranklinGothicBookC"/>
      <w:color w:val="000000"/>
      <w:sz w:val="20"/>
      <w:szCs w:val="16"/>
    </w:rPr>
  </w:style>
  <w:style w:type="character" w:customStyle="1" w:styleId="0002">
    <w:name w:val="000_текст_жир курсив"/>
    <w:uiPriority w:val="22"/>
    <w:rsid w:val="00576F44"/>
    <w:rPr>
      <w:rFonts w:ascii="Times New Roman" w:hAnsi="Times New Roman"/>
      <w:b/>
      <w:i/>
      <w:sz w:val="24"/>
    </w:rPr>
  </w:style>
  <w:style w:type="character" w:customStyle="1" w:styleId="0003">
    <w:name w:val="000_таблица текст жир"/>
    <w:uiPriority w:val="71"/>
    <w:rsid w:val="00576F44"/>
    <w:rPr>
      <w:rFonts w:ascii="Arial" w:hAnsi="Arial" w:cs="FranklinGothicDemiC"/>
      <w:b/>
    </w:rPr>
  </w:style>
  <w:style w:type="table" w:styleId="-2">
    <w:name w:val="Light Shading Accent 2"/>
    <w:basedOn w:val="a1"/>
    <w:uiPriority w:val="60"/>
    <w:rsid w:val="00576F4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a0"/>
    <w:rsid w:val="00576F44"/>
  </w:style>
  <w:style w:type="paragraph" w:styleId="a5">
    <w:name w:val="header"/>
    <w:basedOn w:val="a"/>
    <w:link w:val="a6"/>
    <w:uiPriority w:val="99"/>
    <w:unhideWhenUsed/>
    <w:rsid w:val="00576F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F44"/>
  </w:style>
  <w:style w:type="paragraph" w:styleId="a7">
    <w:name w:val="footer"/>
    <w:basedOn w:val="a"/>
    <w:link w:val="a8"/>
    <w:uiPriority w:val="99"/>
    <w:unhideWhenUsed/>
    <w:rsid w:val="00576F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F44"/>
  </w:style>
  <w:style w:type="table" w:styleId="a9">
    <w:name w:val="Table Grid"/>
    <w:basedOn w:val="a1"/>
    <w:uiPriority w:val="59"/>
    <w:rsid w:val="00F3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C07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0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67419">
      <w:bodyDiv w:val="1"/>
      <w:marLeft w:val="0"/>
      <w:marRight w:val="0"/>
      <w:marTop w:val="0"/>
      <w:marBottom w:val="0"/>
      <w:divBdr>
        <w:top w:val="none" w:sz="0" w:space="0" w:color="auto"/>
        <w:left w:val="none" w:sz="0" w:space="0" w:color="auto"/>
        <w:bottom w:val="none" w:sz="0" w:space="0" w:color="auto"/>
        <w:right w:val="none" w:sz="0" w:space="0" w:color="auto"/>
      </w:divBdr>
    </w:div>
    <w:div w:id="1648822332">
      <w:bodyDiv w:val="1"/>
      <w:marLeft w:val="0"/>
      <w:marRight w:val="0"/>
      <w:marTop w:val="0"/>
      <w:marBottom w:val="0"/>
      <w:divBdr>
        <w:top w:val="none" w:sz="0" w:space="0" w:color="auto"/>
        <w:left w:val="none" w:sz="0" w:space="0" w:color="auto"/>
        <w:bottom w:val="none" w:sz="0" w:space="0" w:color="auto"/>
        <w:right w:val="none" w:sz="0" w:space="0" w:color="auto"/>
      </w:divBdr>
    </w:div>
    <w:div w:id="1694112852">
      <w:bodyDiv w:val="1"/>
      <w:marLeft w:val="0"/>
      <w:marRight w:val="0"/>
      <w:marTop w:val="0"/>
      <w:marBottom w:val="0"/>
      <w:divBdr>
        <w:top w:val="none" w:sz="0" w:space="0" w:color="auto"/>
        <w:left w:val="none" w:sz="0" w:space="0" w:color="auto"/>
        <w:bottom w:val="none" w:sz="0" w:space="0" w:color="auto"/>
        <w:right w:val="none" w:sz="0" w:space="0" w:color="auto"/>
      </w:divBdr>
    </w:div>
    <w:div w:id="17098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horoshilova</cp:lastModifiedBy>
  <cp:revision>2</cp:revision>
  <dcterms:created xsi:type="dcterms:W3CDTF">2017-08-31T07:16:00Z</dcterms:created>
  <dcterms:modified xsi:type="dcterms:W3CDTF">2017-08-31T07:16:00Z</dcterms:modified>
</cp:coreProperties>
</file>